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customXml/itemProps2.xml" ContentType="application/vnd.openxmlformats-officedocument.customXmlProperties+xml"/>
  <Override PartName="/customXml/item2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4673"/>
        <w:gridCol w:w="284"/>
        <w:gridCol w:w="4541"/>
      </w:tblGrid>
      <w:tr>
        <w:trPr/>
        <w:tc>
          <w:tcPr>
            <w:tcW w:w="46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cap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aps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5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46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5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i w:val="false"/>
                <w:i w:val="false"/>
                <w:iCs w:val="false"/>
              </w:rPr>
            </w:pPr>
            <w:r>
              <w:rPr/>
            </w:r>
          </w:p>
        </w:tc>
      </w:tr>
      <w:tr>
        <w:trPr>
          <w:trHeight w:val="202" w:hRule="atLeast"/>
        </w:trPr>
        <w:tc>
          <w:tcPr>
            <w:tcW w:w="46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5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-25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ТЕХНИЧЕСКИЕ УСЛОВИЯ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взамен ТУ от 03.12.2025 №ТПр3442/25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на технологическое </w:t>
      </w: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 xml:space="preserve">присоединение к электрическим сетям АО «ДРСК»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tbl>
      <w:tblPr>
        <w:tblW w:w="9923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4671"/>
        <w:gridCol w:w="291"/>
        <w:gridCol w:w="4961"/>
      </w:tblGrid>
      <w:tr>
        <w:trPr/>
        <w:tc>
          <w:tcPr>
            <w:tcW w:w="46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9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Настоящие Технические условия</w:t>
      </w:r>
      <w:r>
        <w:rPr>
          <w:rFonts w:eastAsia="Times New Roman" w:cs="Times New Roman" w:ascii="Times New Roman" w:hAnsi="Times New Roman"/>
          <w:color w:val="000000"/>
          <w:spacing w:val="-1"/>
          <w:sz w:val="26"/>
          <w:szCs w:val="26"/>
          <w:lang w:eastAsia="ru-RU"/>
        </w:rPr>
        <w:t xml:space="preserve"> разработаны на основании Заявки, зарегистрированной в филиале АО «ДРСК» Хабаровские ЭС 15.09.2025 №ТПр 3442/25,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дополнений к ней от 17.09.2025,19.09.2025,23.09.2025 и письма заявителя от 21.02.2026 №БГ26-24-01 и являются неотъемлемой частью Договора об осуществлении технологического присоединения от 12 декабря 2025 </w:t>
      </w: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  <w:t xml:space="preserve">№3442/25-ХЭС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энергопринимающих устройств </w:t>
      </w: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  <w:t>Общества с ограниченной ответственностью "Белая Гора",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именуемого в дальнейшем – Заявитель, к электрическим сетям АО «ДРСК» (далее – Сетевая организация).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Наименование энергопринимающих устройств/объектов электросетевого хозяйства: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ВЛ-10 кВ и реклоузер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val="en-US" w:eastAsia="ru-RU"/>
        </w:rPr>
        <w:t>TER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_Rec15_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val="en-US" w:eastAsia="ru-RU"/>
        </w:rPr>
        <w:t>All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_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val="en-US" w:eastAsia="ru-RU"/>
        </w:rPr>
        <w:t>R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5 для организации электроснабжения объекта: Горнодобывающего комплекса золоторудного месторождения «Благодатное».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Наименование и месторасположение объектов, в целях энергоснабжения которых осуществляется технологическое присоединение энергопринимающих устройств: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ВЛ-10 кВ и реклоузер TER_Rec15_All_R5 для организации электроснабжения объекта: Горнодобывающего комплекса золоторудного месторождения «Благодатное», расположенного по адресу: Хабаровский край, Николаевский р-н, (кварталы, выделы, части, согласно договору аренды), Магинского участкового лесничества Николаевского лесничества, кадастровый номер 27:00:0000000:14 (далее объект).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Максимальная мощность присоединяемых энергопринимающих устройств/ объектов электросетевого хозяйства заявителя составляет: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1200 кВт.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Ранее присоединенная максимальная мощность: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0 кВт.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Максимальная мощность в точках присоединения с учетом ранее присоединенной: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1200 кВт.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Точка присоединения и распределение мощности: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элементы электрической сети ВЛ- 10 кВ фидера № 6 ПС 110/10 кВ Маго, расположенные на границе земельного участка Заявителя, с максимальной мощностью 1200 кВт.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ab/>
        <w:t>Категория надежности: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         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III категория – 1200 кВт.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ab/>
        <w:t>Класс напряжения электрических сетей, к которым осуществляется технологическое присоединение: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10 кВ.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Основной источник питания: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РУ 10 кВ ПС 110/10 кВ Маго.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Резервный источник питания: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не требуется.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Граница балансовой принадлежности и эксплуатационной ответственности: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элементы электрической сети, расположенные на ВЛ-10 кВ фидера № 6 ПС 110 кВ Маго.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Год ввода в эксплуатацию энергопринимающего устройства / объекта электросетевого хозяйства: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2026 (требуемый заявителю).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9"/>
          <w:tab w:val="left" w:pos="319" w:leader="none"/>
        </w:tabs>
        <w:spacing w:lineRule="auto" w:line="240" w:before="0" w:after="0"/>
        <w:ind w:left="0" w:hanging="0"/>
        <w:contextualSpacing w:val="false"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МЕРОПРИЯТИЯ ПО ОСНОВНОМУ (ПЕРВИЧНОМУ) ЭЛЕКТРОТЕХНИЧЕСКОМУ ОБОРУДОВАНИЮ</w:t>
      </w:r>
    </w:p>
    <w:p>
      <w:pPr>
        <w:pStyle w:val="ListParagraph"/>
        <w:widowControl w:val="false"/>
        <w:tabs>
          <w:tab w:val="clear" w:pos="709"/>
          <w:tab w:val="left" w:pos="319" w:leader="none"/>
        </w:tabs>
        <w:spacing w:lineRule="auto" w:line="240" w:before="0" w:after="0"/>
        <w:ind w:left="0" w:hanging="0"/>
        <w:contextualSpacing w:val="false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Выполнить в сроки, устанавливаемые Договором об осуществлении технологического присоединения, но не позднее окончания срока действия настоящих Технических условий (пояснительная схема прилагается):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131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На объектах Заявителя: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 </w:t>
      </w:r>
    </w:p>
    <w:p>
      <w:pPr>
        <w:pStyle w:val="ListParagraph"/>
        <w:numPr>
          <w:ilvl w:val="2"/>
          <w:numId w:val="2"/>
        </w:numPr>
        <w:tabs>
          <w:tab w:val="clear" w:pos="709"/>
          <w:tab w:val="left" w:pos="131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Строительство, в границах собственного земельного участка, необходимого количества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ЛЭП-10 кВ от точки присоединения, расположенной на границе земельного участка, до проектируемых ТП 10/0,4 кВ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>.</w:t>
      </w:r>
    </w:p>
    <w:p>
      <w:pPr>
        <w:pStyle w:val="ListParagraph"/>
        <w:numPr>
          <w:ilvl w:val="2"/>
          <w:numId w:val="2"/>
        </w:numPr>
        <w:tabs>
          <w:tab w:val="clear" w:pos="709"/>
          <w:tab w:val="left" w:pos="131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Строительство, в границах собственного земельного участка, необходимого количества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ТП-10/0,4 кВ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>.</w:t>
      </w:r>
    </w:p>
    <w:p>
      <w:pPr>
        <w:pStyle w:val="ListParagraph"/>
        <w:tabs>
          <w:tab w:val="clear" w:pos="709"/>
          <w:tab w:val="left" w:pos="1310" w:leader="none"/>
        </w:tabs>
        <w:spacing w:lineRule="auto" w:line="240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1.2. На объектах Сетевой организации: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1.2.1. Монтаж линейного разъединителя на опоре № 14 ВЛ-10 кВ фидера № 6 ПС 110/10 кВ Маго, для подключения проектируемого заявителем ответвления.</w:t>
        <w:tab/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1.3. На объектах электроэнергетики третьих лиц: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Без мероприятий по строительству и (или) реконструкции существующих электрических сетей третьих лиц.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319" w:leader="none"/>
        </w:tabs>
        <w:spacing w:lineRule="auto" w:line="240" w:before="0" w:after="0"/>
        <w:ind w:left="0" w:firstLine="567"/>
        <w:jc w:val="center"/>
        <w:rPr>
          <w:rFonts w:ascii="Times New Roman" w:hAnsi="Times New Roman" w:eastAsia="Calibri" w:cs="Times New Roman"/>
          <w:b/>
          <w:color w:val="000000"/>
          <w:sz w:val="26"/>
          <w:szCs w:val="26"/>
        </w:rPr>
      </w:pP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  <w:t>МЕРОПРИЯТИЯ ПО ОБОРУДОВАНИЮ СИСТЕМ ТЕХНОЛОГИЧЕСКОГО УПРАВЛЕНИЯ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Выполнить расчёт и настройку уставок релейной защиты линейной ячейке 10 кВ № 6 ПС 110/10 кВ Маго.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Предусмотреть подключение нагрузки Заявителя под действие устройств противоаварийной автоматики.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Предусмотреть оснащение реклоузера, устанавливаемого на отпайке в сторону заявителя ВЛ-10 кВ, микропроцессорными устройствами релейной защиты и автоматики (РЗА). 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Устройства РЗА должны обеспечивать свою работу при частоте 45,0 – 55,0 Гц.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Выполнить учет электроэнергии </w:t>
      </w:r>
      <w:r>
        <w:rPr>
          <w:rFonts w:eastAsia="Times New Roman" w:cs="Times New Roman" w:ascii="Times New Roman" w:hAnsi="Times New Roman"/>
          <w:bCs/>
          <w:color w:val="000000"/>
          <w:sz w:val="26"/>
          <w:szCs w:val="26"/>
          <w:lang w:eastAsia="ru-RU"/>
        </w:rPr>
        <w:t>в соответствии с Типовой инструкцией по учету электроэнергии при ее производстве, передаче и распределении (СО 153-34.09.101-94), требованиями правил организации учета электрической энергии на розничном рынке, установленных Федеральным законом от 26.03.2003 № 35-ФЗ «Об электроэнергетике», Основными положениями функционирования розничных рынков электрической энергии, утвержденными Постановлением Правительства РФ от 04.05.2012 № 442</w:t>
      </w:r>
      <w:r>
        <w:rPr>
          <w:rFonts w:eastAsia="Calibri" w:cs="Times New Roman" w:ascii="Times New Roman" w:hAnsi="Times New Roman"/>
          <w:color w:val="000000"/>
          <w:sz w:val="26"/>
          <w:szCs w:val="26"/>
        </w:rPr>
        <w:t>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Оснастить устанавливаемые ТП 10/0,4 кВ устройствами защиты от перенапряжений и токов короткого замыкания.</w:t>
      </w:r>
    </w:p>
    <w:p>
      <w:pPr>
        <w:pStyle w:val="ListParagraph"/>
        <w:numPr>
          <w:ilvl w:val="1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В случае установки на территории заявителя автономных источников питания, для данных источников питания предусмотреть установку автоматической и (или) ручной блокировки препятствующих подаче напряжения от автономных источников питания в электрическую сеть АО «ДРСК».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40" w:before="0" w:after="0"/>
        <w:ind w:left="567" w:hanging="0"/>
        <w:contextualSpacing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3.</w:t>
        <w:tab/>
        <w:t>ТРЕБОВАНИЯ К ЭНЕРГОПРИНИМАЮЩИМ УСТРОЙСТВАМ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40" w:before="0" w:after="0"/>
        <w:ind w:left="567" w:hanging="0"/>
        <w:contextualSpacing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3.1. В случае выявления, при проектировании, согласно пункту 4.1 настоящих технических условий возможности нарушения соотношения потребления активной и реактивной мощности: нарушение критерия tg φ ≤ 0,4 в точках присоединения к электрическим сетям Сетевой организации энергопринимающих устройств Заявителя, в целях поддержания соотношения потребления активной и реактивной мощности оснастить объекты электросетевого хозяйства Заявителя, указанные в разделе 1 настоящих Технических условий, средствами компенсации реактивной мощности и автоматикой регулирования напряжения и поддержания соотношений потребления активной и реактивной мощности.</w:t>
      </w:r>
    </w:p>
    <w:p>
      <w:pPr>
        <w:pStyle w:val="Normal"/>
        <w:widowControl w:val="false"/>
        <w:tabs>
          <w:tab w:val="clear" w:pos="709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Calibri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При проведении расчетов, определяющих необходимость оснащения объекта электросетевого хозяйства Заявителя средствами компенсации реактивной мощности и автоматикой регулирования напряжения, и при проектировании согласно пункту 4.1 настоящих Технических условий нормально допускаемые и предельно допускаемые значения отклонения на вводах приемников электрической энергии принять соответственно ±5% и ±10% от номинального напряжения электрической сети.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ab/>
        <w:t xml:space="preserve">3.2. При наличии непрерывных технологических процессов, нарушение которых связано с высокими материальными затратами, оснастить электрические сети Заявителя средствами, обеспечивающими нечувствительность систем управления непрерывным технологическим процессом к провалам напряжения в соответствии с ГОСТ </w:t>
      </w:r>
      <w:r>
        <w:rPr>
          <w:rFonts w:eastAsia="Calibri" w:cs="Times New Roman" w:ascii="Times New Roman" w:hAnsi="Times New Roman"/>
          <w:sz w:val="26"/>
          <w:szCs w:val="26"/>
        </w:rPr>
        <w:t>32144-2013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Calibri" w:cs="Times New Roman"/>
          <w:color w:val="000000"/>
          <w:sz w:val="26"/>
          <w:szCs w:val="26"/>
        </w:rPr>
      </w:pPr>
      <w:r>
        <w:rPr>
          <w:rFonts w:eastAsia="Calibri" w:cs="Times New Roman" w:ascii="Times New Roman" w:hAnsi="Times New Roman"/>
          <w:color w:val="000000"/>
          <w:sz w:val="26"/>
          <w:szCs w:val="26"/>
        </w:rPr>
        <w:t>3.3. Если для обеспечения электроснабжения электроприемников аварийной и (или) технологической брони требуется наличие автономных резервных источников питания, а также для энергопринимающих устройств, относящихся к особой категории первой категории надежности электроснабжения, Заявитель обеспечивает установку автономных резервных источников питания с автоматикой, исключающей подачу напряжения от автономных источников в сеть энергосистемы. Заявитель обязан поддерживать устанавливаемые автономные резервные источники питания в состоянии готовности к использованию при возникновении внерегламентных отключений, введении аварийных ограничений режима потребления электрической энергии (мощности) или использовании противоаварийной автоматики.</w:t>
      </w:r>
    </w:p>
    <w:p>
      <w:pPr>
        <w:pStyle w:val="Normal"/>
        <w:widowControl w:val="false"/>
        <w:tabs>
          <w:tab w:val="clear" w:pos="709"/>
          <w:tab w:val="left" w:pos="319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319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4. ПОРЯДОК ВЫПОЛНЕНИЯ МЕРОПРИЯТИЙ ПО ТЕХНОЛОГИЧЕСКОМУ ПРИСОЕДИНЕНИЮ</w:t>
      </w:r>
    </w:p>
    <w:p>
      <w:pPr>
        <w:pStyle w:val="Normal"/>
        <w:widowControl w:val="false"/>
        <w:tabs>
          <w:tab w:val="clear" w:pos="709"/>
          <w:tab w:val="left" w:pos="319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4.1. Заявитель выполняет мероприятия, указанные в пунктах 1.1, 2.3, 2.4, 2.6, 2.7 с учетом требований раздела 3 настоящих Технических условий, включая разработку проектной и рабочей документации.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Заявитель обязан представить Сетевой организации копии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4.2. Сетевая организация выполняет мероприятия, указанные в пункте 1.2, 2.1, 2.2, 2.5 настоящих Технических условий.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6"/>
          <w:szCs w:val="26"/>
        </w:rPr>
        <w:tab/>
        <w:t>4.3. Если в ходе проектирования возникает необходимость частичного отступления от настоящих Технических условий, такие отступления подлежат согласованию с Сетевой организацией (путем внесения изменений в настоящие Технические условия).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6"/>
          <w:szCs w:val="26"/>
        </w:rPr>
      </w:pPr>
      <w:r>
        <w:rPr>
          <w:rFonts w:eastAsia="Calibri" w:cs="Times New Roman" w:ascii="Times New Roman" w:hAnsi="Times New Roman"/>
          <w:color w:val="000000"/>
          <w:sz w:val="26"/>
          <w:szCs w:val="26"/>
        </w:rPr>
        <w:tab/>
        <w:t xml:space="preserve">4.5.Провести проверку выполнения настоящих Технических условий, включая проведение осмотра (обследования) электроустановок, с участием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представителей Сетевой организации</w:t>
      </w:r>
      <w:r>
        <w:rPr>
          <w:rFonts w:eastAsia="Calibri" w:cs="Times New Roman" w:ascii="Times New Roman" w:hAnsi="Times New Roman"/>
          <w:color w:val="000000"/>
          <w:sz w:val="26"/>
          <w:szCs w:val="26"/>
        </w:rPr>
        <w:t>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6"/>
          <w:szCs w:val="26"/>
        </w:rPr>
      </w:pPr>
      <w:r>
        <w:rPr>
          <w:rFonts w:eastAsia="Calibri" w:cs="Times New Roman" w:ascii="Times New Roman" w:hAnsi="Times New Roman"/>
          <w:color w:val="000000"/>
          <w:sz w:val="26"/>
          <w:szCs w:val="26"/>
        </w:rPr>
        <w:tab/>
        <w:t>4.6. Получить от Сетевой организации акт о выполнении технических условий.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ab/>
        <w:t>4.7.Получить разрешение федерального органа исполнительной власти, осуществляющего федеральный государственный энергетический надзор, на допуск в эксплуатацию объектов электросетевого хозяйства Заявителя.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>4.8. Технические условия от 03.12.2025 №ТПр3442/25 аннулированы.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Приложение: Схема присоединения заявителя к сетям АО «ДРСК».</w:t>
        <w:tab/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rPr/>
      </w:pPr>
      <w:r>
        <w:rPr/>
      </w:r>
    </w:p>
    <w:p>
      <w:pPr>
        <w:sectPr>
          <w:headerReference w:type="default" r:id="rId2"/>
          <w:type w:val="nextPage"/>
          <w:pgSz w:w="11906" w:h="16838"/>
          <w:pgMar w:left="1418" w:right="709" w:gutter="0" w:header="709" w:top="851" w:footer="0" w:bottom="851"/>
          <w:pgNumType w:fmt="decimal"/>
          <w:formProt w:val="false"/>
          <w:titlePg/>
          <w:textDirection w:val="lrTb"/>
          <w:docGrid w:type="default" w:linePitch="360" w:charSpace="8192"/>
        </w:sectPr>
      </w:pP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outlineLvl w:val="0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ru-RU"/>
        </w:rPr>
      </w:r>
    </w:p>
    <w:p>
      <w:pPr>
        <w:sectPr>
          <w:type w:val="continuous"/>
          <w:pgSz w:w="11906" w:h="16838"/>
          <w:pgMar w:left="1418" w:right="709" w:gutter="0" w:header="709" w:top="851" w:footer="0" w:bottom="851"/>
          <w:formProt w:val="false"/>
          <w:textDirection w:val="lrTb"/>
          <w:docGrid w:type="default" w:linePitch="360" w:charSpace="8192"/>
        </w:sectPr>
      </w:pP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Схема присоединения заявителя к сетям АО «ДРСК»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635" distR="0" simplePos="0" locked="0" layoutInCell="0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3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567.75pt;height:347.25pt;mso-wrap-distance-right:0pt" filled="f" o:ole="">
            <v:imagedata r:id="rId4" o:title=""/>
          </v:shape>
          <o:OLEObject Type="Embed" ProgID="Visio.Drawing.11" ShapeID="ole_rId3" DrawAspect="Content" ObjectID="_1380617812" r:id="rId3"/>
        </w:objec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continuous"/>
      <w:pgSz w:w="11906" w:h="16838"/>
      <w:pgMar w:left="1418" w:right="709" w:gutter="0" w:header="709" w:top="851" w:footer="0" w:bottom="851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746791026"/>
    </w:sdtPr>
    <w:sdtContent>
      <w:p>
        <w:pPr>
          <w:pStyle w:val="Header"/>
          <w:jc w:val="center"/>
          <w:rPr/>
        </w:pPr>
        <w:r>
          <w:rPr>
            <w:rFonts w:cs="Times New Roman" w:ascii="Times New Roman" w:hAnsi="Times New Roman"/>
            <w:sz w:val="20"/>
            <w:szCs w:val="20"/>
          </w:rPr>
          <w:fldChar w:fldCharType="begin"/>
        </w:r>
        <w:r>
          <w:rPr>
            <w:sz w:val="20"/>
            <w:szCs w:val="20"/>
            <w:rFonts w:cs="Times New Roman" w:ascii="Times New Roman" w:hAnsi="Times New Roman"/>
          </w:rPr>
          <w:instrText xml:space="preserve"> PAGE </w:instrText>
        </w:r>
        <w:r>
          <w:rPr>
            <w:sz w:val="20"/>
            <w:szCs w:val="20"/>
            <w:rFonts w:cs="Times New Roman" w:ascii="Times New Roman" w:hAnsi="Times New Roman"/>
          </w:rPr>
          <w:fldChar w:fldCharType="separate"/>
        </w:r>
        <w:r>
          <w:rPr>
            <w:sz w:val="20"/>
            <w:szCs w:val="20"/>
            <w:rFonts w:cs="Times New Roman" w:ascii="Times New Roman" w:hAnsi="Times New Roman"/>
          </w:rPr>
          <w:t>4</w:t>
        </w:r>
        <w:r>
          <w:rPr>
            <w:sz w:val="20"/>
            <w:szCs w:val="20"/>
            <w:rFonts w:cs="Times New Roman" w:ascii="Times New Roman" w:hAnsi="Times New Roman"/>
          </w:rPr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3">
    <w:name w:val="Heading 3"/>
    <w:basedOn w:val="Normal"/>
    <w:next w:val="Normal"/>
    <w:link w:val="3"/>
    <w:uiPriority w:val="99"/>
    <w:qFormat/>
    <w:pPr>
      <w:keepNext w:val="true"/>
      <w:tabs>
        <w:tab w:val="clear" w:pos="709"/>
        <w:tab w:val="left" w:pos="360" w:leader="none"/>
      </w:tabs>
      <w:spacing w:lineRule="auto" w:line="240" w:before="240" w:after="60"/>
      <w:ind w:left="360" w:hanging="0"/>
      <w:outlineLvl w:val="2"/>
    </w:pPr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Символ сноски"/>
    <w:uiPriority w:val="99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yle10" w:customStyle="1">
    <w:name w:val="Текст концевой сноски Знак"/>
    <w:basedOn w:val="DefaultParagraphFont"/>
    <w:uiPriority w:val="99"/>
    <w:semiHidden/>
    <w:qFormat/>
    <w:rPr>
      <w:sz w:val="20"/>
      <w:szCs w:val="20"/>
    </w:rPr>
  </w:style>
  <w:style w:type="character" w:styleId="Style11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2" w:customStyle="1">
    <w:name w:val="Текст примечания Знак"/>
    <w:basedOn w:val="DefaultParagraphFont"/>
    <w:link w:val="Annotationtext"/>
    <w:uiPriority w:val="99"/>
    <w:semiHidden/>
    <w:qFormat/>
    <w:rPr>
      <w:rFonts w:ascii="Times New Roman" w:hAnsi="Times New Roman"/>
      <w:sz w:val="20"/>
      <w:szCs w:val="20"/>
    </w:rPr>
  </w:style>
  <w:style w:type="character" w:styleId="Style13" w:customStyle="1">
    <w:name w:val="Верхний колонтитул Знак"/>
    <w:basedOn w:val="DefaultParagraphFont"/>
    <w:uiPriority w:val="99"/>
    <w:qFormat/>
    <w:rPr/>
  </w:style>
  <w:style w:type="character" w:styleId="Style14" w:customStyle="1">
    <w:name w:val="Нижний колонтитул Знак"/>
    <w:basedOn w:val="DefaultParagraphFont"/>
    <w:uiPriority w:val="99"/>
    <w:qFormat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6" w:customStyle="1">
    <w:name w:val="Тема примечания Знак"/>
    <w:basedOn w:val="Style12"/>
    <w:link w:val="Annotation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character" w:styleId="Webofficeattributevalue1" w:customStyle="1">
    <w:name w:val="webofficeattributevalue1"/>
    <w:basedOn w:val="DefaultParagraphFont"/>
    <w:qFormat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3" w:customStyle="1">
    <w:name w:val="Заголовок 3 Знак"/>
    <w:basedOn w:val="DefaultParagraphFont"/>
    <w:uiPriority w:val="99"/>
    <w:qFormat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Style17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Normal"/>
    <w:uiPriority w:val="99"/>
    <w:semiHidden/>
    <w:unhideWhenUsed/>
    <w:pPr>
      <w:spacing w:lineRule="auto" w:line="240" w:before="0" w:after="200"/>
      <w:ind w:left="283" w:hanging="283"/>
      <w:contextualSpacing/>
    </w:pPr>
    <w:rPr>
      <w:rFonts w:ascii="Times New Roman" w:hAnsi="Times New Roman"/>
      <w:sz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Style8"/>
    <w:uiPriority w:val="9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Style10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Annotationtext">
    <w:name w:val="annotation text"/>
    <w:basedOn w:val="Normal"/>
    <w:link w:val="Style12"/>
    <w:uiPriority w:val="99"/>
    <w:semiHidden/>
    <w:unhideWhenUsed/>
    <w:qFormat/>
    <w:pPr>
      <w:spacing w:lineRule="auto" w:line="240"/>
    </w:pPr>
    <w:rPr>
      <w:rFonts w:ascii="Times New Roman" w:hAnsi="Times New Roman"/>
      <w:sz w:val="20"/>
      <w:szCs w:val="20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4"/>
    <w:uiPriority w:val="99"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pPr/>
    <w:rPr>
      <w:rFonts w:ascii="Calibri" w:hAnsi="Calibri" w:asciiTheme="minorHAnsi" w:hAnsiTheme="minorHAnsi"/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odyTextIndent">
    <w:name w:val="Body Text Indent"/>
    <w:basedOn w:val="Normal"/>
    <w:link w:val="Style17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Знак"/>
    <w:basedOn w:val="Normal"/>
    <w:qFormat/>
    <w:pPr>
      <w:spacing w:lineRule="exact" w:line="240" w:before="0" w:after="160"/>
    </w:pPr>
    <w:rPr>
      <w:rFonts w:ascii="Verdana" w:hAnsi="Verdana" w:eastAsia="Times New Roman" w:cs="Verdana"/>
      <w:sz w:val="20"/>
      <w:szCs w:val="20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f3">
    <w:name w:val="Light Shading"/>
    <w:basedOn w:val="a1"/>
    <w:uiPriority w:val="60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">
    <w:name w:val="Светлая заливка1"/>
    <w:basedOn w:val="a1"/>
    <w:uiPriority w:val="60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0">
    <w:name w:val="Сетка таблицы1"/>
    <w:basedOn w:val="a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oleObject" Target="embeddings/oleObject1.bin"/><Relationship Id="rId4" Type="http://schemas.openxmlformats.org/officeDocument/2006/relationships/image" Target="media/image1.wmf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9CBF-24DB-49D7-AC0F-8D4D12994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FAA85-A337-4739-93FF-FC661408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AlterOffice/3.3.0.4$Linux_X86_64 LibreOffice_project/fa736b558560ebea8f92088bfd7720f4b3918f3f</Application>
  <AppVersion>15.0000</AppVersion>
  <Pages>4</Pages>
  <Words>946</Words>
  <Characters>7405</Characters>
  <CharactersWithSpaces>8320</CharactersWithSpaces>
  <Paragraphs>51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2026-03-13T00:11:00Z</dcterms:created>
  <dc:creator>Корнеев А.Ю.</dc:creator>
  <dc:description/>
  <dc:language>ru-RU</dc:language>
  <cp:lastModifiedBy>temnyuk_av</cp:lastModifiedBy>
  <cp:lastPrinted>2026-03-13T00:25:00Z</cp:lastPrinted>
  <dcterms:modified xsi:type="dcterms:W3CDTF">2026-07-21T14:02:20Z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0900005a80ead2a1</vt:lpwstr>
  </property>
  <property fmtid="{D5CDD505-2E9C-101B-9397-08002B2CF9AE}" pid="3" name="CustomObjectState">
    <vt:lpwstr>180939569</vt:lpwstr>
  </property>
  <property fmtid="{D5CDD505-2E9C-101B-9397-08002B2CF9AE}" pid="4" name="CustomOwnerUserId">
    <vt:lpwstr>KorneevAY</vt:lpwstr>
  </property>
  <property fmtid="{D5CDD505-2E9C-101B-9397-08002B2CF9AE}" pid="5" name="CustomServerURL">
    <vt:lpwstr>http://172.17.101.97:7777/asud_hmrsk/doc-upload</vt:lpwstr>
  </property>
  <property fmtid="{D5CDD505-2E9C-101B-9397-08002B2CF9AE}" pid="6" name="CustomUserId">
    <vt:lpwstr>KorneevAY</vt:lpwstr>
  </property>
  <property fmtid="{D5CDD505-2E9C-101B-9397-08002B2CF9AE}" pid="7" name="localFileProperties">
    <vt:lpwstr>CHERNOV-MV1.chernov_mv.C:\Users\CHERNO~1\AppData\Local\Temp\AsudCheckout\0900005a80ead2a1\ПРИКАЗ_ПО_ТП_сентябрь_2013.docx.docm</vt:lpwstr>
  </property>
</Properties>
</file>